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BF" w:rsidRDefault="00D846BF">
      <w:pPr>
        <w:tabs>
          <w:tab w:val="left" w:pos="11340"/>
        </w:tabs>
        <w:spacing w:line="560" w:lineRule="exact"/>
        <w:rPr>
          <w:rFonts w:ascii="方正小标宋_GBK" w:eastAsia="方正小标宋_GBK" w:hAnsi="华文中宋"/>
          <w:b/>
          <w:bCs/>
          <w:spacing w:val="3"/>
          <w:sz w:val="44"/>
          <w:szCs w:val="44"/>
        </w:rPr>
      </w:pPr>
    </w:p>
    <w:p w:rsidR="00D846BF" w:rsidRDefault="00D846BF">
      <w:pPr>
        <w:tabs>
          <w:tab w:val="left" w:pos="11340"/>
        </w:tabs>
        <w:spacing w:line="560" w:lineRule="exact"/>
        <w:rPr>
          <w:rFonts w:ascii="方正小标宋_GBK" w:eastAsia="方正小标宋_GBK" w:hAnsi="华文中宋"/>
          <w:b/>
          <w:bCs/>
          <w:spacing w:val="3"/>
          <w:sz w:val="44"/>
          <w:szCs w:val="44"/>
        </w:rPr>
      </w:pPr>
    </w:p>
    <w:p w:rsidR="00D846BF" w:rsidRDefault="00D846BF">
      <w:pPr>
        <w:tabs>
          <w:tab w:val="left" w:pos="11340"/>
        </w:tabs>
        <w:spacing w:line="560" w:lineRule="exact"/>
        <w:rPr>
          <w:rFonts w:ascii="方正小标宋_GBK" w:eastAsia="方正小标宋_GBK" w:hAnsi="华文中宋"/>
          <w:b/>
          <w:bCs/>
          <w:spacing w:val="3"/>
          <w:sz w:val="44"/>
          <w:szCs w:val="44"/>
        </w:rPr>
      </w:pPr>
    </w:p>
    <w:p w:rsidR="00D846BF" w:rsidRDefault="002D1289">
      <w:pPr>
        <w:tabs>
          <w:tab w:val="left" w:pos="11340"/>
        </w:tabs>
        <w:spacing w:line="560" w:lineRule="exact"/>
        <w:rPr>
          <w:rFonts w:ascii="方正小标宋_GBK" w:eastAsia="方正小标宋_GBK"/>
          <w:b/>
          <w:bCs/>
          <w:spacing w:val="3"/>
          <w:sz w:val="48"/>
        </w:rPr>
      </w:pPr>
      <w:r>
        <w:rPr>
          <w:rFonts w:ascii="方正小标宋_GBK" w:eastAsia="方正小标宋_GBK" w:hAnsi="华文中宋" w:hint="eastAsia"/>
          <w:b/>
          <w:bCs/>
          <w:spacing w:val="3"/>
          <w:sz w:val="44"/>
          <w:szCs w:val="44"/>
        </w:rPr>
        <w:t>惠州市国有建设用地使用权网上挂牌</w:t>
      </w:r>
      <w:r>
        <w:rPr>
          <w:rFonts w:ascii="方正小标宋_GBK" w:eastAsia="方正小标宋_GBK" w:hAnsi="华文中宋" w:hint="eastAsia"/>
          <w:b/>
          <w:bCs/>
          <w:sz w:val="44"/>
          <w:szCs w:val="44"/>
        </w:rPr>
        <w:t>出让公告</w:t>
      </w:r>
    </w:p>
    <w:p w:rsidR="00D846BF" w:rsidRDefault="002D1289">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惠公易土市直</w:t>
      </w:r>
      <w:r w:rsidR="00397A46">
        <w:rPr>
          <w:rFonts w:ascii="仿宋_GB2312" w:eastAsia="仿宋_GB2312" w:hAnsi="仿宋_GB2312" w:cs="仿宋_GB2312" w:hint="eastAsia"/>
          <w:sz w:val="32"/>
          <w:szCs w:val="32"/>
        </w:rPr>
        <w:t>[2021]055</w:t>
      </w:r>
      <w:r>
        <w:rPr>
          <w:rFonts w:ascii="仿宋_GB2312" w:eastAsia="仿宋_GB2312" w:hAnsi="仿宋_GB2312" w:cs="仿宋_GB2312" w:hint="eastAsia"/>
          <w:sz w:val="32"/>
          <w:szCs w:val="32"/>
        </w:rPr>
        <w:t>号</w:t>
      </w:r>
    </w:p>
    <w:p w:rsidR="00D846BF" w:rsidRDefault="00D846BF">
      <w:pPr>
        <w:spacing w:line="560" w:lineRule="exact"/>
        <w:ind w:firstLineChars="200" w:firstLine="640"/>
        <w:rPr>
          <w:rFonts w:ascii="仿宋_GB2312" w:eastAsia="仿宋_GB2312" w:hAnsi="仿宋_GB2312" w:cs="仿宋_GB2312"/>
          <w:sz w:val="32"/>
          <w:szCs w:val="32"/>
        </w:rPr>
      </w:pP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rsidR="00D846BF" w:rsidRDefault="002D1289">
      <w:pPr>
        <w:spacing w:line="56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一、网上挂牌出让地块基本情况及规划指标要求（见附表）</w:t>
      </w:r>
    </w:p>
    <w:p w:rsidR="00D846BF" w:rsidRDefault="002D1289">
      <w:pPr>
        <w:spacing w:line="56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二、网上挂牌竞买时间为2022年</w:t>
      </w:r>
      <w:r w:rsidR="001453B3">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1453B3">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日9时至2022年</w:t>
      </w:r>
      <w:r w:rsidR="001453B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397A4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日10时。</w:t>
      </w:r>
    </w:p>
    <w:p w:rsidR="00D846BF" w:rsidRDefault="002D1289">
      <w:pPr>
        <w:spacing w:line="56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三、挂牌起始价为人民币38820万元,每次报价加价幅度为人民币500万元的整数倍。</w:t>
      </w:r>
    </w:p>
    <w:p w:rsidR="00D846BF" w:rsidRDefault="002D1289">
      <w:pPr>
        <w:spacing w:line="52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四、竞买资格及要求</w:t>
      </w:r>
    </w:p>
    <w:p w:rsidR="00D846BF" w:rsidRDefault="002D1289">
      <w:pPr>
        <w:spacing w:line="52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一）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p>
    <w:p w:rsidR="00D846BF" w:rsidRDefault="002D1289">
      <w:pPr>
        <w:pStyle w:val="a4"/>
        <w:widowControl w:val="0"/>
        <w:spacing w:before="0" w:line="560" w:lineRule="exact"/>
        <w:jc w:val="both"/>
        <w:rPr>
          <w:rFonts w:hAnsi="仿宋_GB2312" w:cs="仿宋_GB2312"/>
          <w:szCs w:val="32"/>
        </w:rPr>
      </w:pPr>
      <w:r>
        <w:rPr>
          <w:rFonts w:hAnsi="仿宋_GB2312" w:cs="仿宋_GB2312" w:hint="eastAsia"/>
          <w:szCs w:val="32"/>
        </w:rPr>
        <w:t>1、单独申请竞买的，竞买申请人为非本市注册登记的企业，在竞得土地后，必须于2个月内在本市工商行政管理部门注册成</w:t>
      </w:r>
      <w:r>
        <w:rPr>
          <w:rFonts w:hAnsi="仿宋_GB2312" w:cs="仿宋_GB2312" w:hint="eastAsia"/>
          <w:szCs w:val="32"/>
        </w:rPr>
        <w:lastRenderedPageBreak/>
        <w:t>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p>
    <w:p w:rsidR="00D846BF" w:rsidRDefault="002D1289">
      <w:pPr>
        <w:pStyle w:val="a4"/>
        <w:widowControl w:val="0"/>
        <w:spacing w:before="0" w:line="560" w:lineRule="exact"/>
        <w:jc w:val="both"/>
        <w:rPr>
          <w:rFonts w:hAnsi="仿宋_GB2312" w:cs="仿宋_GB2312"/>
          <w:szCs w:val="32"/>
        </w:rPr>
      </w:pPr>
      <w:r>
        <w:rPr>
          <w:rFonts w:hAnsi="仿宋_GB2312" w:cs="仿宋_GB2312" w:hint="eastAsia"/>
          <w:szCs w:val="32"/>
        </w:rPr>
        <w:t>2、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rsidR="00D846BF" w:rsidRDefault="002D1289">
      <w:pPr>
        <w:pStyle w:val="a4"/>
        <w:widowControl w:val="0"/>
        <w:spacing w:before="0" w:line="640" w:lineRule="atLeast"/>
        <w:jc w:val="both"/>
        <w:rPr>
          <w:rFonts w:ascii="Times New Roman" w:hAnsi="Times New Roman"/>
          <w:kern w:val="2"/>
          <w:szCs w:val="32"/>
        </w:rPr>
      </w:pPr>
      <w:r>
        <w:rPr>
          <w:rFonts w:hAnsi="仿宋_GB2312" w:cs="仿宋_GB2312" w:hint="eastAsia"/>
          <w:szCs w:val="32"/>
        </w:rPr>
        <w:t>（二</w:t>
      </w:r>
      <w:r>
        <w:rPr>
          <w:rFonts w:hAnsi="仿宋_GB2312" w:cs="仿宋_GB2312" w:hint="eastAsia"/>
          <w:kern w:val="2"/>
          <w:szCs w:val="32"/>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网上挂牌交易成交</w:t>
      </w:r>
      <w:r>
        <w:rPr>
          <w:rFonts w:hAnsi="仿宋_GB2312" w:cs="仿宋_GB2312" w:hint="eastAsia"/>
          <w:kern w:val="2"/>
          <w:szCs w:val="32"/>
        </w:rPr>
        <w:lastRenderedPageBreak/>
        <w:t>后提交相应证明并对上述要求作出承诺</w:t>
      </w:r>
      <w:r>
        <w:rPr>
          <w:rFonts w:hAnsi="仿宋_GB2312" w:cs="仿宋_GB2312" w:hint="eastAsia"/>
          <w:szCs w:val="32"/>
        </w:rPr>
        <w:t>。</w:t>
      </w:r>
    </w:p>
    <w:p w:rsidR="00D846BF" w:rsidRDefault="002D1289">
      <w:pPr>
        <w:pStyle w:val="a4"/>
        <w:widowControl w:val="0"/>
        <w:spacing w:before="0" w:line="640" w:lineRule="atLeast"/>
        <w:jc w:val="both"/>
        <w:rPr>
          <w:rFonts w:hAnsi="仿宋_GB2312" w:cs="仿宋_GB2312"/>
          <w:kern w:val="2"/>
          <w:szCs w:val="32"/>
        </w:rPr>
      </w:pPr>
      <w:r>
        <w:rPr>
          <w:rFonts w:hAnsi="仿宋_GB2312" w:cs="仿宋_GB2312" w:hint="eastAsia"/>
          <w:kern w:val="2"/>
          <w:szCs w:val="32"/>
        </w:rPr>
        <w:t>对于经审查资金来源不符合要求的，根据情况采取取消参与资格竞买、取消竞得资格、解除土地出让合同或收回已出让土地等措施，竞买保证金不予返还，一年内不得在惠州市参加土地竞买。</w:t>
      </w:r>
    </w:p>
    <w:p w:rsidR="00D846BF" w:rsidRDefault="002D1289">
      <w:pPr>
        <w:pStyle w:val="a4"/>
        <w:widowControl w:val="0"/>
        <w:spacing w:before="0" w:line="560" w:lineRule="exact"/>
        <w:jc w:val="both"/>
        <w:rPr>
          <w:rFonts w:hAnsi="仿宋_GB2312" w:cs="仿宋_GB2312"/>
          <w:szCs w:val="32"/>
        </w:rPr>
      </w:pPr>
      <w:r>
        <w:rPr>
          <w:rFonts w:hAnsi="仿宋_GB2312" w:cs="仿宋_GB2312" w:hint="eastAsia"/>
          <w:szCs w:val="32"/>
        </w:rPr>
        <w:t>五、该宗地竞买保证金可用人民币及外币（暂限于美元、港币）支付。</w:t>
      </w:r>
    </w:p>
    <w:p w:rsidR="00D846BF" w:rsidRDefault="002D1289">
      <w:pPr>
        <w:pStyle w:val="a4"/>
        <w:widowControl w:val="0"/>
        <w:spacing w:before="0" w:line="640" w:lineRule="atLeast"/>
        <w:jc w:val="both"/>
        <w:rPr>
          <w:rFonts w:hAnsi="仿宋_GB2312" w:cs="仿宋_GB2312"/>
          <w:szCs w:val="32"/>
        </w:rPr>
      </w:pPr>
      <w:r>
        <w:rPr>
          <w:rFonts w:hAnsi="仿宋_GB2312" w:cs="仿宋_GB2312" w:hint="eastAsia"/>
          <w:szCs w:val="32"/>
        </w:rPr>
        <w:t>六、申请人应具备的其他条件：</w:t>
      </w:r>
    </w:p>
    <w:p w:rsidR="00D846BF" w:rsidRDefault="002D1289">
      <w:pPr>
        <w:pStyle w:val="a4"/>
        <w:widowControl w:val="0"/>
        <w:spacing w:before="0" w:line="640" w:lineRule="atLeast"/>
        <w:jc w:val="both"/>
        <w:rPr>
          <w:rFonts w:hAnsi="仿宋_GB2312" w:cs="仿宋_GB2312"/>
          <w:szCs w:val="32"/>
        </w:rPr>
      </w:pPr>
      <w:r>
        <w:rPr>
          <w:rFonts w:hAnsi="仿宋_GB2312" w:cs="仿宋_GB2312" w:hint="eastAsia"/>
          <w:szCs w:val="32"/>
        </w:rPr>
        <w:t>（一）缴交竞买保证金11646万元人民币，如以外币缴交竞买保证金的，须缴交美元1805万元、港币14048万元。</w:t>
      </w:r>
    </w:p>
    <w:p w:rsidR="00D846BF" w:rsidRDefault="002D1289">
      <w:pPr>
        <w:widowControl/>
        <w:spacing w:line="640" w:lineRule="atLeas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（二）存在下列违法违规违约行为之一的企业及其控股股东，不得参与竞买上述地块：</w:t>
      </w:r>
    </w:p>
    <w:p w:rsidR="00D846BF" w:rsidRDefault="002D1289">
      <w:pPr>
        <w:pStyle w:val="a4"/>
        <w:widowControl w:val="0"/>
        <w:spacing w:before="0" w:line="640" w:lineRule="atLeast"/>
        <w:jc w:val="both"/>
        <w:rPr>
          <w:rFonts w:hAnsi="仿宋_GB2312" w:cs="仿宋_GB2312"/>
          <w:kern w:val="2"/>
          <w:szCs w:val="22"/>
        </w:rPr>
      </w:pPr>
      <w:r>
        <w:rPr>
          <w:rFonts w:hAnsi="仿宋_GB2312" w:cs="仿宋_GB2312" w:hint="eastAsia"/>
          <w:kern w:val="2"/>
          <w:szCs w:val="22"/>
        </w:rPr>
        <w:t>1、存在伪造公文骗取用地和非法倒卖土地等犯罪行为的；</w:t>
      </w:r>
    </w:p>
    <w:p w:rsidR="00D846BF" w:rsidRDefault="002D1289">
      <w:pPr>
        <w:pStyle w:val="a4"/>
        <w:widowControl w:val="0"/>
        <w:spacing w:before="0" w:line="640" w:lineRule="atLeast"/>
        <w:jc w:val="both"/>
        <w:rPr>
          <w:rFonts w:hAnsi="仿宋_GB2312" w:cs="仿宋_GB2312"/>
          <w:kern w:val="2"/>
          <w:szCs w:val="22"/>
        </w:rPr>
      </w:pPr>
      <w:r>
        <w:rPr>
          <w:rFonts w:hAnsi="仿宋_GB2312" w:cs="仿宋_GB2312" w:hint="eastAsia"/>
          <w:kern w:val="2"/>
          <w:szCs w:val="22"/>
        </w:rPr>
        <w:t>2、存在非法转让土地使用权等违法行为的；</w:t>
      </w:r>
    </w:p>
    <w:p w:rsidR="00D846BF" w:rsidRDefault="002D1289">
      <w:pPr>
        <w:pStyle w:val="a4"/>
        <w:widowControl w:val="0"/>
        <w:spacing w:before="0" w:line="640" w:lineRule="atLeast"/>
        <w:jc w:val="both"/>
        <w:rPr>
          <w:rFonts w:hAnsi="仿宋_GB2312" w:cs="仿宋_GB2312"/>
          <w:kern w:val="2"/>
          <w:szCs w:val="22"/>
        </w:rPr>
      </w:pPr>
      <w:r>
        <w:rPr>
          <w:rFonts w:hAnsi="仿宋_GB2312" w:cs="仿宋_GB2312" w:hint="eastAsia"/>
          <w:kern w:val="2"/>
          <w:szCs w:val="22"/>
        </w:rPr>
        <w:t>3、因企业原因造成土地闲置一年以上且至报名日止未处罚完结的；</w:t>
      </w:r>
    </w:p>
    <w:p w:rsidR="00D846BF" w:rsidRDefault="002D1289">
      <w:pPr>
        <w:pStyle w:val="a4"/>
        <w:widowControl w:val="0"/>
        <w:spacing w:before="0" w:line="640" w:lineRule="atLeast"/>
        <w:jc w:val="both"/>
        <w:rPr>
          <w:rFonts w:hAnsi="仿宋_GB2312" w:cs="仿宋_GB2312"/>
          <w:kern w:val="2"/>
          <w:szCs w:val="22"/>
        </w:rPr>
      </w:pPr>
      <w:r>
        <w:rPr>
          <w:rFonts w:hAnsi="仿宋_GB2312" w:cs="仿宋_GB2312" w:hint="eastAsia"/>
          <w:kern w:val="2"/>
          <w:szCs w:val="22"/>
        </w:rPr>
        <w:t>4、开发建设企业有违背出让合同约定条件开发利用土地情形且至报名日止未处罚完结的；</w:t>
      </w:r>
    </w:p>
    <w:p w:rsidR="00D846BF" w:rsidRDefault="002D1289">
      <w:pPr>
        <w:pStyle w:val="a4"/>
        <w:widowControl w:val="0"/>
        <w:spacing w:before="0" w:line="640" w:lineRule="atLeast"/>
        <w:jc w:val="both"/>
        <w:rPr>
          <w:rFonts w:hAnsi="仿宋_GB2312" w:cs="仿宋_GB2312"/>
          <w:kern w:val="2"/>
          <w:szCs w:val="22"/>
        </w:rPr>
      </w:pPr>
      <w:r>
        <w:rPr>
          <w:rFonts w:hAnsi="仿宋_GB2312" w:cs="仿宋_GB2312" w:hint="eastAsia"/>
          <w:kern w:val="2"/>
          <w:szCs w:val="22"/>
        </w:rPr>
        <w:t>5、至报名日止仍拖欠政府地价款的;</w:t>
      </w:r>
    </w:p>
    <w:p w:rsidR="00D846BF" w:rsidRDefault="002D1289">
      <w:pPr>
        <w:pStyle w:val="a4"/>
        <w:widowControl w:val="0"/>
        <w:spacing w:before="0" w:line="640" w:lineRule="atLeast"/>
        <w:jc w:val="both"/>
        <w:rPr>
          <w:rFonts w:hAnsi="仿宋_GB2312" w:cs="仿宋_GB2312"/>
          <w:kern w:val="2"/>
          <w:szCs w:val="22"/>
        </w:rPr>
      </w:pPr>
      <w:r>
        <w:rPr>
          <w:rFonts w:hAnsi="仿宋_GB2312" w:cs="仿宋_GB2312" w:hint="eastAsia"/>
          <w:kern w:val="2"/>
          <w:szCs w:val="22"/>
        </w:rPr>
        <w:t>6、被列入问题楼盘开发企业黑名单的;</w:t>
      </w:r>
    </w:p>
    <w:p w:rsidR="00D846BF" w:rsidRDefault="002D1289">
      <w:pPr>
        <w:spacing w:line="640" w:lineRule="atLeas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7、购地资金超过“三道红线”，存在重大失信行为的；</w:t>
      </w:r>
    </w:p>
    <w:p w:rsidR="00D846BF" w:rsidRDefault="002D1289">
      <w:pPr>
        <w:pStyle w:val="a4"/>
        <w:widowControl w:val="0"/>
        <w:spacing w:before="0" w:line="560" w:lineRule="exact"/>
        <w:jc w:val="both"/>
        <w:rPr>
          <w:rFonts w:hAnsi="仿宋_GB2312" w:cs="仿宋_GB2312"/>
          <w:szCs w:val="32"/>
        </w:rPr>
      </w:pPr>
      <w:r>
        <w:rPr>
          <w:rFonts w:hAnsi="仿宋_GB2312" w:cs="仿宋_GB2312" w:hint="eastAsia"/>
          <w:kern w:val="2"/>
          <w:szCs w:val="32"/>
        </w:rPr>
        <w:t>8、存在其它被禁止竞买土地行为的</w:t>
      </w:r>
      <w:r>
        <w:rPr>
          <w:rFonts w:hAnsi="仿宋_GB2312" w:cs="仿宋_GB2312" w:hint="eastAsia"/>
          <w:szCs w:val="32"/>
        </w:rPr>
        <w:t>。</w:t>
      </w: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七、本次国有建设用地使用权网上挂牌竞价达到44643万元时，转为采取摇号方式确定竞得人。</w:t>
      </w:r>
    </w:p>
    <w:p w:rsidR="00D846BF" w:rsidRDefault="002D1289">
      <w:pPr>
        <w:spacing w:line="56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八、本次网上挂牌出让的详细资料和具体要求，见惠州市公共资源交易中心土地与矿业网上挂牌交易系统（https://www.hzgtjy.com/）。申请人可在网上挂牌交易系统下载挂牌出让公告、须知及相关交易文件，并按上述文件规定的操作程序在网上参加竞买。</w:t>
      </w:r>
    </w:p>
    <w:p w:rsidR="00D846BF" w:rsidRDefault="002D1289">
      <w:pPr>
        <w:spacing w:line="56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九、有意竞买者可以自行到地块现场踏勘（可在网上挂牌交易系统查阅位置图和现状图）。</w:t>
      </w:r>
    </w:p>
    <w:p w:rsidR="00D846BF" w:rsidRDefault="002D1289">
      <w:pPr>
        <w:spacing w:line="56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十、申请人应当在网上挂牌出让结束前登录惠州市公共资源交易中心土地与矿业网上挂牌交易系统并在系统上向惠州市公共资源交易中心提交竞买申请并支付保证金。网上挂牌保证金到账截止时间为2022年</w:t>
      </w:r>
      <w:r w:rsidR="001453B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397A4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日上午9时止。</w:t>
      </w:r>
    </w:p>
    <w:p w:rsidR="00D846BF" w:rsidRDefault="002D1289">
      <w:pPr>
        <w:spacing w:line="56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rsidR="00D846BF" w:rsidRDefault="002D1289">
      <w:pPr>
        <w:spacing w:line="56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十二、网上挂牌系统确定成交后，竞得人缴纳的竞买保证金按成交价的10%转作定金。如竞买保证金不足以缴纳定金，不足部分在交易系统确定成交之日起5个工作日内补齐；竞买保证金转作定金后有剩余，余额抵作土地成交价的预付款。竞得人签订《出让合同》后，定金可抵作土地成交价款，余额转作土地成交价款。</w:t>
      </w:r>
    </w:p>
    <w:p w:rsidR="00D846BF" w:rsidRDefault="002D1289">
      <w:pPr>
        <w:spacing w:line="56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以外币缴交竞买保证金的，扣除定金后余额部分返回给竞得人，待竞得人按时缴清土地成交价款后，再将定金退还，不计利息。</w:t>
      </w:r>
    </w:p>
    <w:p w:rsidR="00D846BF" w:rsidRDefault="002D1289">
      <w:pPr>
        <w:spacing w:line="640"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十三、其它需要公告的事项</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（一）该地块所建单套毛坯商品住宅销售单价不高于21000元/㎡，如实施装修销售的，装修标准原则上不得高于3000元/㎡。</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（二）开发投资总额不少于62577万元（含地价,不含地价溢价部分）。</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（三）土地成交价款须以人民币支付,竞得人在签订《出让合同》之日起30日内付清全部成</w:t>
      </w:r>
      <w:bookmarkStart w:id="0" w:name="_GoBack"/>
      <w:bookmarkEnd w:id="0"/>
      <w:r>
        <w:rPr>
          <w:rFonts w:ascii="仿宋_GB2312" w:eastAsia="仿宋_GB2312" w:hAnsi="仿宋_GB2312" w:cs="仿宋_GB2312" w:hint="eastAsia"/>
          <w:sz w:val="32"/>
          <w:szCs w:val="32"/>
        </w:rPr>
        <w:t>交价款。</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（四）竞得人在用地红线内开发建设必须符合城市规划要求，必须按《规划设计条件告知书》（案卷编号：PB20210063）规划控制指标要求及有关规定进行规划设计；</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（五）该地属政府储备地，没有法律经济纠纷，具备动工开发所必须的基本条件；</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竞得人须配建总建筑面积不低于27717㎡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国有建设用地使用权出让合同》；</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（七）取得JSH-B04-19地块的土地使用权者须按规划要求及相关规范承担地块南侧修竹一路、东侧文竹一路以及修竹一路以</w:t>
      </w:r>
      <w:r>
        <w:rPr>
          <w:rFonts w:ascii="仿宋_GB2312" w:eastAsia="仿宋_GB2312" w:hAnsi="仿宋_GB2312" w:cs="仿宋_GB2312" w:hint="eastAsia"/>
          <w:sz w:val="32"/>
          <w:szCs w:val="32"/>
        </w:rPr>
        <w:lastRenderedPageBreak/>
        <w:t>及文竹一路交叉口（包括雨水管、污水管、电力电缆沟和通信管群）的建设，建成后无偿移交政府相关部门。</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（八）临规划城市道路一侧建筑红线与道路红线之间的用地须作为景观绿地型公共空间，由用地权属单位自建，但应服从城市规划建设的需要，建成后由政府统一管理，并纳入城市公共开放空间。</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（九）为保证临水（包括江、河、湖、库等）景观资源的公共性，一线临水界面的建筑布局应开敞通透，避免建设对景观遮挡严重的板式建筑，临水地块的建筑间口率 (建筑总面宽/基地滨水面宽）应当控制在50%以下。建筑体量应腹地高、滨水低、逐级下降。</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（十）JSH-B04-19地块临水区域第一层次的建筑应以低、多层建筑为主，宜设置商业及配套公共服务设施，高度不宜超过24米。</w:t>
      </w:r>
    </w:p>
    <w:p w:rsidR="00D846BF" w:rsidRDefault="002D1289">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（十一）竞得人须按《规划设计条件告知书》（案卷编号：PB20210063）要求配建相关配套设施。</w:t>
      </w:r>
    </w:p>
    <w:p w:rsidR="00D846BF" w:rsidRDefault="002D1289">
      <w:pPr>
        <w:pStyle w:val="2"/>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（十二）竞得人有下列行为之一的，取消竞得人资格，竞买保证金不予退还,并由有关部门依法处理;造成损失的，竞得人还应依法承担赔偿责任：</w:t>
      </w:r>
    </w:p>
    <w:p w:rsidR="00D846BF" w:rsidRDefault="002D1289">
      <w:pPr>
        <w:spacing w:line="6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1、不符合竞买资格条件的；</w:t>
      </w:r>
    </w:p>
    <w:p w:rsidR="00D846BF" w:rsidRDefault="002D1289">
      <w:pPr>
        <w:spacing w:line="6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2、采取行贿、恶意串通等非法手段竞得的；</w:t>
      </w:r>
    </w:p>
    <w:p w:rsidR="00D846BF" w:rsidRDefault="002D1289">
      <w:pPr>
        <w:spacing w:line="6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3、竞得人以其他非法手段竞得的；</w:t>
      </w:r>
    </w:p>
    <w:p w:rsidR="00D846BF" w:rsidRDefault="002D1289">
      <w:pPr>
        <w:spacing w:line="6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4、竞得人逾期或拒绝签订《成交确认书》的；</w:t>
      </w:r>
    </w:p>
    <w:p w:rsidR="00D846BF" w:rsidRDefault="002D1289">
      <w:pPr>
        <w:spacing w:line="6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5、竞得人逾期或拒绝签订《出让合同》的；</w:t>
      </w:r>
    </w:p>
    <w:p w:rsidR="00D846BF" w:rsidRDefault="002D1289">
      <w:pPr>
        <w:spacing w:line="6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6、不按本须知规定提供有关纸质文件材料，或提供虚假文件材料、隐瞒重要事实，引起交易纠纷的；</w:t>
      </w:r>
    </w:p>
    <w:p w:rsidR="00D846BF" w:rsidRDefault="002D1289">
      <w:pPr>
        <w:spacing w:line="6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7、构成违约责任的其他行为。</w:t>
      </w: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（十三）挂牌出让价款不含应由竞得人缴纳的契税、印花税等有关费用。</w:t>
      </w:r>
    </w:p>
    <w:p w:rsidR="00D846BF" w:rsidRDefault="002D1289">
      <w:pPr>
        <w:spacing w:line="56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十四、联系方式：</w:t>
      </w:r>
    </w:p>
    <w:p w:rsidR="00D846BF" w:rsidRDefault="002D1289">
      <w:pPr>
        <w:spacing w:line="52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（一）惠州市自然资源局</w:t>
      </w:r>
    </w:p>
    <w:p w:rsidR="00D846BF" w:rsidRDefault="002D1289">
      <w:pPr>
        <w:spacing w:line="52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联系地址：惠州市江北三新南路7号</w:t>
      </w:r>
    </w:p>
    <w:p w:rsidR="00D846BF" w:rsidRDefault="002D1289">
      <w:pPr>
        <w:spacing w:line="52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联系人：黄工</w:t>
      </w:r>
    </w:p>
    <w:p w:rsidR="00D846BF" w:rsidRDefault="002D1289">
      <w:pPr>
        <w:spacing w:line="52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联系电话：（0752）2896313</w:t>
      </w:r>
    </w:p>
    <w:p w:rsidR="00D846BF" w:rsidRDefault="002D1289">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惠州市公共资源交易中心</w:t>
      </w:r>
      <w:r>
        <w:rPr>
          <w:rFonts w:ascii="仿宋_GB2312" w:eastAsia="仿宋_GB2312" w:hAnsi="仿宋_GB2312" w:cs="仿宋_GB2312" w:hint="eastAsia"/>
          <w:sz w:val="32"/>
          <w:szCs w:val="32"/>
        </w:rPr>
        <w:br/>
        <w:t>联系地址：广东省惠州市惠城区三新北路31号市民服务中心3号楼一楼108室</w:t>
      </w:r>
    </w:p>
    <w:p w:rsidR="00D846BF" w:rsidRDefault="002D1289">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联系人：袁工、杨工</w:t>
      </w: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联系电话：（0752）7121026、7121036</w:t>
      </w: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注：本公告同时在下列网站及场所发布</w:t>
      </w: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中国土地市场网: http://www.landchina.com</w:t>
      </w: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惠州市自然资源局网站：http://land.huizhou.gov.cn</w:t>
      </w: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惠州市公共资源交易中心网：</w:t>
      </w:r>
      <w:hyperlink r:id="rId8" w:history="1">
        <w:r>
          <w:rPr>
            <w:rFonts w:ascii="仿宋_GB2312" w:eastAsia="仿宋_GB2312" w:hAnsi="仿宋_GB2312" w:cs="仿宋_GB2312" w:hint="eastAsia"/>
            <w:sz w:val="32"/>
            <w:szCs w:val="32"/>
          </w:rPr>
          <w:t>http://zyjy.huizhou.gov.cn</w:t>
        </w:r>
      </w:hyperlink>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惠州市公共资源交易中心交易大厅现场。</w:t>
      </w:r>
    </w:p>
    <w:p w:rsidR="00D846BF" w:rsidRDefault="002D1289">
      <w:pPr>
        <w:spacing w:line="560" w:lineRule="exact"/>
        <w:ind w:firstLineChars="200" w:firstLine="640"/>
        <w:rPr>
          <w:rFonts w:ascii="仿宋_GB2312" w:eastAsia="仿宋_GB2312" w:hAnsi="仿宋_GB2312" w:cs="仿宋_GB2312"/>
          <w:color w:val="696969"/>
          <w:sz w:val="32"/>
          <w:szCs w:val="32"/>
        </w:rPr>
      </w:pPr>
      <w:r>
        <w:rPr>
          <w:rFonts w:ascii="仿宋_GB2312" w:eastAsia="仿宋_GB2312" w:hAnsi="仿宋_GB2312" w:cs="仿宋_GB2312" w:hint="eastAsia"/>
          <w:sz w:val="32"/>
          <w:szCs w:val="32"/>
        </w:rPr>
        <w:t>数字证书办理地址：广东省惠州市惠城区三新北路31号市民服务中心3号楼惠州市公共资源交易中心一楼大厅1号土地与矿业交易窗口</w:t>
      </w:r>
      <w:r>
        <w:rPr>
          <w:rFonts w:ascii="仿宋_GB2312" w:eastAsia="仿宋_GB2312" w:hAnsi="仿宋_GB2312" w:cs="仿宋_GB2312" w:hint="eastAsia"/>
          <w:color w:val="000000"/>
          <w:sz w:val="32"/>
          <w:szCs w:val="32"/>
        </w:rPr>
        <w:t>。</w:t>
      </w: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联系人：罗工</w:t>
      </w:r>
    </w:p>
    <w:p w:rsidR="00D846BF" w:rsidRDefault="002D12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联系电话：0752-7121029</w:t>
      </w:r>
    </w:p>
    <w:p w:rsidR="001453B3" w:rsidRPr="001453B3" w:rsidRDefault="001453B3" w:rsidP="001453B3">
      <w:pPr>
        <w:pStyle w:val="a0"/>
      </w:pPr>
    </w:p>
    <w:p w:rsidR="00D846BF" w:rsidRDefault="002D1289" w:rsidP="001453B3">
      <w:pPr>
        <w:spacing w:line="560" w:lineRule="exact"/>
        <w:ind w:right="4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惠州市自然资源局</w:t>
      </w:r>
    </w:p>
    <w:p w:rsidR="00D846BF" w:rsidRDefault="002D1289" w:rsidP="001453B3">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惠州市公共资源交易中心</w:t>
      </w:r>
    </w:p>
    <w:p w:rsidR="00D846BF" w:rsidRDefault="002D1289" w:rsidP="001453B3">
      <w:pPr>
        <w:spacing w:line="560" w:lineRule="exact"/>
        <w:ind w:firstLineChars="1600" w:firstLine="5120"/>
        <w:jc w:val="right"/>
        <w:rPr>
          <w:rFonts w:ascii="仿宋_GB2312" w:eastAsia="仿宋_GB2312" w:hAnsi="仿宋_GB2312" w:cs="仿宋_GB2312"/>
          <w:sz w:val="32"/>
          <w:szCs w:val="32"/>
        </w:rPr>
        <w:sectPr w:rsidR="00D846BF">
          <w:headerReference w:type="default" r:id="rId9"/>
          <w:footerReference w:type="even" r:id="rId10"/>
          <w:footerReference w:type="default" r:id="rId11"/>
          <w:pgSz w:w="11906" w:h="16838"/>
          <w:pgMar w:top="1440" w:right="1440" w:bottom="1440" w:left="1440" w:header="851" w:footer="992" w:gutter="0"/>
          <w:pgNumType w:fmt="numberInDash"/>
          <w:cols w:space="720"/>
          <w:docGrid w:type="lines" w:linePitch="312"/>
        </w:sectPr>
      </w:pPr>
      <w:r>
        <w:rPr>
          <w:rFonts w:ascii="仿宋_GB2312" w:eastAsia="仿宋_GB2312" w:hAnsi="仿宋_GB2312" w:cs="仿宋_GB2312" w:hint="eastAsia"/>
          <w:sz w:val="32"/>
          <w:szCs w:val="32"/>
        </w:rPr>
        <w:t>2021年</w:t>
      </w:r>
      <w:r w:rsidR="00756388">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031BC9">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D846BF" w:rsidRDefault="002D1289">
      <w:pPr>
        <w:spacing w:line="360" w:lineRule="auto"/>
        <w:rPr>
          <w:rFonts w:ascii="Times New Roman" w:eastAsia="仿宋_GB2312" w:hAnsi="Times New Roman"/>
          <w:sz w:val="32"/>
          <w:szCs w:val="32"/>
        </w:rPr>
      </w:pPr>
      <w:r>
        <w:rPr>
          <w:rFonts w:ascii="Times New Roman" w:eastAsia="黑体" w:hAnsi="Times New Roman"/>
          <w:sz w:val="32"/>
          <w:szCs w:val="32"/>
        </w:rPr>
        <w:lastRenderedPageBreak/>
        <w:t>附表</w:t>
      </w:r>
    </w:p>
    <w:p w:rsidR="00D846BF" w:rsidRDefault="002D1289">
      <w:pPr>
        <w:tabs>
          <w:tab w:val="left" w:pos="9720"/>
        </w:tabs>
        <w:spacing w:line="360" w:lineRule="auto"/>
        <w:jc w:val="center"/>
        <w:rPr>
          <w:rFonts w:ascii="Times New Roman" w:eastAsia="方正小标宋_GBK" w:hAnsi="Times New Roman"/>
          <w:b/>
          <w:sz w:val="36"/>
          <w:szCs w:val="36"/>
        </w:rPr>
      </w:pPr>
      <w:r>
        <w:rPr>
          <w:rFonts w:ascii="Times New Roman" w:eastAsia="方正小标宋_GBK" w:hAnsi="Times New Roman"/>
          <w:b/>
          <w:sz w:val="36"/>
          <w:szCs w:val="36"/>
        </w:rPr>
        <w:t>网上挂牌出让地块规划建设指标</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608"/>
        <w:gridCol w:w="668"/>
        <w:gridCol w:w="473"/>
        <w:gridCol w:w="1004"/>
        <w:gridCol w:w="1005"/>
        <w:gridCol w:w="772"/>
        <w:gridCol w:w="645"/>
        <w:gridCol w:w="1088"/>
        <w:gridCol w:w="945"/>
        <w:gridCol w:w="986"/>
        <w:gridCol w:w="741"/>
        <w:gridCol w:w="677"/>
      </w:tblGrid>
      <w:tr w:rsidR="00D846BF">
        <w:trPr>
          <w:trHeight w:val="436"/>
        </w:trPr>
        <w:tc>
          <w:tcPr>
            <w:tcW w:w="702" w:type="dxa"/>
            <w:vMerge w:val="restart"/>
            <w:vAlign w:val="center"/>
          </w:tcPr>
          <w:p w:rsidR="00D846BF" w:rsidRDefault="002D1289">
            <w:pPr>
              <w:spacing w:line="320" w:lineRule="exact"/>
              <w:jc w:val="center"/>
              <w:rPr>
                <w:rFonts w:ascii="Times New Roman" w:eastAsia="仿宋_GB2312" w:hAnsi="Times New Roman"/>
                <w:b/>
                <w:bCs/>
                <w:szCs w:val="21"/>
              </w:rPr>
            </w:pPr>
            <w:r>
              <w:rPr>
                <w:rFonts w:ascii="Times New Roman" w:eastAsia="仿宋_GB2312" w:hAnsi="Times New Roman"/>
                <w:b/>
                <w:bCs/>
                <w:szCs w:val="21"/>
              </w:rPr>
              <w:t>挂牌地块编号</w:t>
            </w:r>
          </w:p>
        </w:tc>
        <w:tc>
          <w:tcPr>
            <w:tcW w:w="608" w:type="dxa"/>
            <w:vMerge w:val="restart"/>
            <w:vAlign w:val="center"/>
          </w:tcPr>
          <w:p w:rsidR="00D846BF" w:rsidRDefault="002D1289">
            <w:pPr>
              <w:spacing w:line="320" w:lineRule="exact"/>
              <w:jc w:val="center"/>
              <w:rPr>
                <w:rFonts w:ascii="Times New Roman" w:eastAsia="仿宋_GB2312" w:hAnsi="Times New Roman"/>
                <w:b/>
                <w:bCs/>
                <w:szCs w:val="21"/>
              </w:rPr>
            </w:pPr>
            <w:r>
              <w:rPr>
                <w:rFonts w:ascii="Times New Roman" w:eastAsia="仿宋_GB2312" w:hAnsi="Times New Roman"/>
                <w:b/>
                <w:bCs/>
                <w:szCs w:val="21"/>
              </w:rPr>
              <w:t>土地</w:t>
            </w:r>
          </w:p>
          <w:p w:rsidR="00D846BF" w:rsidRDefault="002D1289">
            <w:pPr>
              <w:spacing w:line="320" w:lineRule="exact"/>
              <w:jc w:val="center"/>
              <w:rPr>
                <w:rFonts w:ascii="Times New Roman" w:eastAsia="仿宋_GB2312" w:hAnsi="Times New Roman"/>
                <w:b/>
                <w:bCs/>
                <w:szCs w:val="21"/>
              </w:rPr>
            </w:pPr>
            <w:r>
              <w:rPr>
                <w:rFonts w:ascii="Times New Roman" w:eastAsia="仿宋_GB2312" w:hAnsi="Times New Roman"/>
                <w:b/>
                <w:bCs/>
                <w:szCs w:val="21"/>
              </w:rPr>
              <w:t>位置</w:t>
            </w:r>
          </w:p>
        </w:tc>
        <w:tc>
          <w:tcPr>
            <w:tcW w:w="668" w:type="dxa"/>
            <w:vMerge w:val="restart"/>
            <w:vAlign w:val="center"/>
          </w:tcPr>
          <w:p w:rsidR="00D846BF" w:rsidRDefault="002D1289">
            <w:pPr>
              <w:adjustRightInd w:val="0"/>
              <w:snapToGrid w:val="0"/>
              <w:spacing w:line="320" w:lineRule="exact"/>
              <w:jc w:val="center"/>
              <w:rPr>
                <w:rFonts w:ascii="Times New Roman" w:eastAsia="仿宋_GB2312" w:hAnsi="Times New Roman"/>
                <w:b/>
                <w:bCs/>
                <w:szCs w:val="21"/>
              </w:rPr>
            </w:pPr>
            <w:r>
              <w:rPr>
                <w:rFonts w:ascii="Times New Roman" w:eastAsia="仿宋_GB2312" w:hAnsi="Times New Roman"/>
                <w:b/>
                <w:bCs/>
                <w:szCs w:val="21"/>
              </w:rPr>
              <w:t>用地编号</w:t>
            </w:r>
          </w:p>
        </w:tc>
        <w:tc>
          <w:tcPr>
            <w:tcW w:w="473" w:type="dxa"/>
            <w:vMerge w:val="restart"/>
            <w:vAlign w:val="center"/>
          </w:tcPr>
          <w:p w:rsidR="00D846BF" w:rsidRDefault="002D1289">
            <w:pPr>
              <w:adjustRightInd w:val="0"/>
              <w:snapToGrid w:val="0"/>
              <w:spacing w:line="320" w:lineRule="exact"/>
              <w:jc w:val="center"/>
              <w:rPr>
                <w:rFonts w:ascii="Times New Roman" w:eastAsia="仿宋_GB2312" w:hAnsi="Times New Roman"/>
                <w:b/>
                <w:bCs/>
                <w:szCs w:val="21"/>
              </w:rPr>
            </w:pPr>
            <w:r>
              <w:rPr>
                <w:rFonts w:ascii="Times New Roman" w:eastAsia="仿宋_GB2312" w:hAnsi="Times New Roman"/>
                <w:b/>
                <w:bCs/>
                <w:szCs w:val="21"/>
              </w:rPr>
              <w:t>土地</w:t>
            </w:r>
          </w:p>
          <w:p w:rsidR="00D846BF" w:rsidRDefault="002D1289">
            <w:pPr>
              <w:adjustRightInd w:val="0"/>
              <w:snapToGrid w:val="0"/>
              <w:spacing w:line="320" w:lineRule="exact"/>
              <w:jc w:val="center"/>
              <w:rPr>
                <w:rFonts w:ascii="Times New Roman" w:eastAsia="仿宋_GB2312" w:hAnsi="Times New Roman"/>
                <w:b/>
                <w:bCs/>
                <w:szCs w:val="21"/>
              </w:rPr>
            </w:pPr>
            <w:r>
              <w:rPr>
                <w:rFonts w:ascii="Times New Roman" w:eastAsia="仿宋_GB2312" w:hAnsi="Times New Roman"/>
                <w:b/>
                <w:bCs/>
                <w:szCs w:val="21"/>
              </w:rPr>
              <w:t>用途</w:t>
            </w:r>
          </w:p>
        </w:tc>
        <w:tc>
          <w:tcPr>
            <w:tcW w:w="7186" w:type="dxa"/>
            <w:gridSpan w:val="8"/>
            <w:vAlign w:val="center"/>
          </w:tcPr>
          <w:p w:rsidR="00D846BF" w:rsidRDefault="002D1289">
            <w:pPr>
              <w:adjustRightInd w:val="0"/>
              <w:snapToGrid w:val="0"/>
              <w:spacing w:line="320" w:lineRule="exact"/>
              <w:ind w:leftChars="-89" w:left="1" w:hangingChars="89" w:hanging="188"/>
              <w:jc w:val="center"/>
              <w:rPr>
                <w:rFonts w:ascii="Times New Roman" w:eastAsia="仿宋_GB2312" w:hAnsi="Times New Roman"/>
                <w:b/>
                <w:bCs/>
                <w:szCs w:val="21"/>
              </w:rPr>
            </w:pPr>
            <w:r>
              <w:rPr>
                <w:rFonts w:ascii="Times New Roman" w:eastAsia="仿宋_GB2312" w:hAnsi="Times New Roman"/>
                <w:b/>
                <w:bCs/>
                <w:szCs w:val="21"/>
              </w:rPr>
              <w:t>规划指标要求</w:t>
            </w:r>
          </w:p>
        </w:tc>
        <w:tc>
          <w:tcPr>
            <w:tcW w:w="677" w:type="dxa"/>
            <w:vAlign w:val="center"/>
          </w:tcPr>
          <w:p w:rsidR="00D846BF" w:rsidRDefault="00D846BF">
            <w:pPr>
              <w:autoSpaceDE w:val="0"/>
              <w:autoSpaceDN w:val="0"/>
              <w:adjustRightInd w:val="0"/>
              <w:spacing w:line="240" w:lineRule="exact"/>
              <w:jc w:val="center"/>
              <w:rPr>
                <w:rFonts w:ascii="Times New Roman" w:eastAsia="仿宋_GB2312" w:hAnsi="Times New Roman"/>
                <w:b/>
                <w:bCs/>
              </w:rPr>
            </w:pPr>
          </w:p>
        </w:tc>
      </w:tr>
      <w:tr w:rsidR="00D846BF">
        <w:trPr>
          <w:trHeight w:val="1415"/>
        </w:trPr>
        <w:tc>
          <w:tcPr>
            <w:tcW w:w="702" w:type="dxa"/>
            <w:vMerge/>
            <w:vAlign w:val="center"/>
          </w:tcPr>
          <w:p w:rsidR="00D846BF" w:rsidRDefault="00D846BF">
            <w:pPr>
              <w:adjustRightInd w:val="0"/>
              <w:snapToGrid w:val="0"/>
              <w:spacing w:line="320" w:lineRule="exact"/>
              <w:jc w:val="center"/>
              <w:rPr>
                <w:rFonts w:ascii="Times New Roman" w:eastAsia="仿宋_GB2312" w:hAnsi="Times New Roman"/>
                <w:b/>
                <w:bCs/>
              </w:rPr>
            </w:pPr>
          </w:p>
        </w:tc>
        <w:tc>
          <w:tcPr>
            <w:tcW w:w="608" w:type="dxa"/>
            <w:vMerge/>
            <w:vAlign w:val="center"/>
          </w:tcPr>
          <w:p w:rsidR="00D846BF" w:rsidRDefault="00D846BF">
            <w:pPr>
              <w:adjustRightInd w:val="0"/>
              <w:snapToGrid w:val="0"/>
              <w:spacing w:line="320" w:lineRule="exact"/>
              <w:jc w:val="center"/>
              <w:rPr>
                <w:rFonts w:ascii="Times New Roman" w:eastAsia="仿宋_GB2312" w:hAnsi="Times New Roman"/>
                <w:b/>
                <w:bCs/>
              </w:rPr>
            </w:pPr>
          </w:p>
        </w:tc>
        <w:tc>
          <w:tcPr>
            <w:tcW w:w="668" w:type="dxa"/>
            <w:vMerge/>
            <w:vAlign w:val="center"/>
          </w:tcPr>
          <w:p w:rsidR="00D846BF" w:rsidRDefault="00D846BF">
            <w:pPr>
              <w:adjustRightInd w:val="0"/>
              <w:snapToGrid w:val="0"/>
              <w:spacing w:line="320" w:lineRule="exact"/>
              <w:jc w:val="center"/>
              <w:rPr>
                <w:rFonts w:ascii="Times New Roman" w:eastAsia="仿宋_GB2312" w:hAnsi="Times New Roman"/>
                <w:b/>
                <w:bCs/>
              </w:rPr>
            </w:pPr>
          </w:p>
        </w:tc>
        <w:tc>
          <w:tcPr>
            <w:tcW w:w="473" w:type="dxa"/>
            <w:vMerge/>
            <w:vAlign w:val="center"/>
          </w:tcPr>
          <w:p w:rsidR="00D846BF" w:rsidRDefault="00D846BF">
            <w:pPr>
              <w:adjustRightInd w:val="0"/>
              <w:snapToGrid w:val="0"/>
              <w:spacing w:line="320" w:lineRule="exact"/>
              <w:jc w:val="center"/>
              <w:rPr>
                <w:rFonts w:ascii="Times New Roman" w:eastAsia="仿宋_GB2312" w:hAnsi="Times New Roman"/>
                <w:b/>
                <w:bCs/>
              </w:rPr>
            </w:pPr>
          </w:p>
        </w:tc>
        <w:tc>
          <w:tcPr>
            <w:tcW w:w="1004" w:type="dxa"/>
            <w:vAlign w:val="center"/>
          </w:tcPr>
          <w:p w:rsidR="00D846BF" w:rsidRDefault="002D1289">
            <w:pPr>
              <w:spacing w:line="320" w:lineRule="exact"/>
              <w:jc w:val="center"/>
              <w:rPr>
                <w:rFonts w:ascii="Times New Roman" w:eastAsia="仿宋_GB2312" w:hAnsi="Times New Roman"/>
                <w:b/>
                <w:bCs/>
                <w:szCs w:val="21"/>
              </w:rPr>
            </w:pPr>
            <w:r>
              <w:rPr>
                <w:rFonts w:ascii="Times New Roman" w:eastAsia="仿宋_GB2312" w:hAnsi="Times New Roman"/>
                <w:b/>
                <w:bCs/>
                <w:szCs w:val="21"/>
              </w:rPr>
              <w:t>计算指标用地面积</w:t>
            </w:r>
          </w:p>
        </w:tc>
        <w:tc>
          <w:tcPr>
            <w:tcW w:w="1005" w:type="dxa"/>
            <w:vAlign w:val="center"/>
          </w:tcPr>
          <w:p w:rsidR="00D846BF" w:rsidRDefault="002D1289">
            <w:pPr>
              <w:autoSpaceDE w:val="0"/>
              <w:autoSpaceDN w:val="0"/>
              <w:adjustRightInd w:val="0"/>
              <w:spacing w:line="240" w:lineRule="exact"/>
              <w:jc w:val="center"/>
              <w:rPr>
                <w:rFonts w:ascii="Times New Roman" w:hAnsi="Times New Roman"/>
                <w:b/>
                <w:bCs/>
                <w:szCs w:val="21"/>
              </w:rPr>
            </w:pPr>
            <w:r>
              <w:rPr>
                <w:rFonts w:ascii="Times New Roman" w:eastAsia="仿宋_GB2312" w:hAnsi="Times New Roman"/>
                <w:b/>
                <w:bCs/>
                <w:szCs w:val="21"/>
              </w:rPr>
              <w:t>宗地使用权面积</w:t>
            </w:r>
          </w:p>
        </w:tc>
        <w:tc>
          <w:tcPr>
            <w:tcW w:w="772" w:type="dxa"/>
            <w:vAlign w:val="center"/>
          </w:tcPr>
          <w:p w:rsidR="00D846BF" w:rsidRDefault="002D1289">
            <w:pPr>
              <w:autoSpaceDE w:val="0"/>
              <w:autoSpaceDN w:val="0"/>
              <w:adjustRightInd w:val="0"/>
              <w:spacing w:line="240" w:lineRule="exact"/>
              <w:jc w:val="center"/>
              <w:rPr>
                <w:rFonts w:ascii="Times New Roman" w:eastAsia="仿宋_GB2312" w:hAnsi="Times New Roman"/>
                <w:b/>
                <w:bCs/>
                <w:szCs w:val="21"/>
              </w:rPr>
            </w:pPr>
            <w:r>
              <w:rPr>
                <w:rFonts w:ascii="Times New Roman" w:eastAsia="仿宋_GB2312" w:hAnsi="Times New Roman"/>
                <w:b/>
                <w:bCs/>
                <w:szCs w:val="21"/>
              </w:rPr>
              <w:t>建筑密度</w:t>
            </w:r>
          </w:p>
        </w:tc>
        <w:tc>
          <w:tcPr>
            <w:tcW w:w="645" w:type="dxa"/>
            <w:vAlign w:val="center"/>
          </w:tcPr>
          <w:p w:rsidR="00D846BF" w:rsidRDefault="002D1289">
            <w:pPr>
              <w:autoSpaceDE w:val="0"/>
              <w:autoSpaceDN w:val="0"/>
              <w:adjustRightInd w:val="0"/>
              <w:spacing w:line="240" w:lineRule="exact"/>
              <w:jc w:val="center"/>
              <w:rPr>
                <w:rFonts w:ascii="Times New Roman" w:eastAsia="仿宋_GB2312" w:hAnsi="Times New Roman"/>
                <w:b/>
                <w:bCs/>
                <w:szCs w:val="21"/>
              </w:rPr>
            </w:pPr>
            <w:r>
              <w:rPr>
                <w:rFonts w:ascii="Times New Roman" w:eastAsia="仿宋_GB2312" w:hAnsi="Times New Roman"/>
                <w:b/>
                <w:bCs/>
                <w:szCs w:val="21"/>
              </w:rPr>
              <w:t>容积率</w:t>
            </w:r>
          </w:p>
        </w:tc>
        <w:tc>
          <w:tcPr>
            <w:tcW w:w="1088" w:type="dxa"/>
            <w:vAlign w:val="center"/>
          </w:tcPr>
          <w:p w:rsidR="00D846BF" w:rsidRDefault="002D1289">
            <w:pPr>
              <w:spacing w:line="320" w:lineRule="exact"/>
              <w:ind w:left="44" w:rightChars="-25" w:right="-53" w:hangingChars="21" w:hanging="44"/>
              <w:jc w:val="center"/>
              <w:rPr>
                <w:rFonts w:ascii="Times New Roman" w:eastAsia="仿宋_GB2312" w:hAnsi="Times New Roman"/>
                <w:b/>
                <w:bCs/>
                <w:szCs w:val="21"/>
              </w:rPr>
            </w:pPr>
            <w:r>
              <w:rPr>
                <w:rFonts w:ascii="Times New Roman" w:eastAsia="仿宋_GB2312" w:hAnsi="Times New Roman"/>
                <w:b/>
                <w:bCs/>
                <w:szCs w:val="21"/>
              </w:rPr>
              <w:t>计容积率建筑面积</w:t>
            </w:r>
          </w:p>
        </w:tc>
        <w:tc>
          <w:tcPr>
            <w:tcW w:w="945" w:type="dxa"/>
            <w:vAlign w:val="center"/>
          </w:tcPr>
          <w:p w:rsidR="00D846BF" w:rsidRDefault="002D1289">
            <w:pPr>
              <w:autoSpaceDE w:val="0"/>
              <w:autoSpaceDN w:val="0"/>
              <w:adjustRightInd w:val="0"/>
              <w:spacing w:line="240" w:lineRule="exact"/>
              <w:jc w:val="center"/>
              <w:rPr>
                <w:rFonts w:ascii="Times New Roman" w:eastAsia="仿宋_GB2312" w:hAnsi="Times New Roman"/>
                <w:b/>
                <w:bCs/>
              </w:rPr>
            </w:pPr>
            <w:r>
              <w:rPr>
                <w:rFonts w:ascii="Times New Roman" w:eastAsia="仿宋_GB2312" w:hAnsi="Times New Roman"/>
                <w:b/>
                <w:bCs/>
              </w:rPr>
              <w:t>绿地率</w:t>
            </w:r>
          </w:p>
        </w:tc>
        <w:tc>
          <w:tcPr>
            <w:tcW w:w="986" w:type="dxa"/>
            <w:vAlign w:val="center"/>
          </w:tcPr>
          <w:p w:rsidR="00D846BF" w:rsidRDefault="002D1289">
            <w:pPr>
              <w:autoSpaceDE w:val="0"/>
              <w:autoSpaceDN w:val="0"/>
              <w:adjustRightInd w:val="0"/>
              <w:spacing w:line="240" w:lineRule="exact"/>
              <w:jc w:val="center"/>
              <w:rPr>
                <w:rFonts w:ascii="Times New Roman" w:hAnsi="Times New Roman"/>
                <w:b/>
                <w:bCs/>
                <w:szCs w:val="21"/>
              </w:rPr>
            </w:pPr>
            <w:r>
              <w:rPr>
                <w:rFonts w:ascii="Times New Roman" w:eastAsia="仿宋_GB2312" w:hAnsi="Times New Roman"/>
                <w:b/>
                <w:szCs w:val="21"/>
              </w:rPr>
              <w:t>机动车停车位（个）</w:t>
            </w:r>
          </w:p>
        </w:tc>
        <w:tc>
          <w:tcPr>
            <w:tcW w:w="741" w:type="dxa"/>
            <w:vAlign w:val="center"/>
          </w:tcPr>
          <w:p w:rsidR="00D846BF" w:rsidRDefault="002D1289">
            <w:pPr>
              <w:autoSpaceDE w:val="0"/>
              <w:autoSpaceDN w:val="0"/>
              <w:adjustRightInd w:val="0"/>
              <w:spacing w:line="240" w:lineRule="exact"/>
              <w:jc w:val="center"/>
              <w:rPr>
                <w:rFonts w:ascii="Times New Roman" w:eastAsia="仿宋_GB2312" w:hAnsi="Times New Roman"/>
                <w:b/>
                <w:bCs/>
              </w:rPr>
            </w:pPr>
            <w:r>
              <w:rPr>
                <w:rFonts w:ascii="Times New Roman" w:eastAsia="仿宋_GB2312" w:hAnsi="Times New Roman"/>
                <w:b/>
                <w:bCs/>
                <w:szCs w:val="21"/>
              </w:rPr>
              <w:t>适建性</w:t>
            </w:r>
          </w:p>
        </w:tc>
        <w:tc>
          <w:tcPr>
            <w:tcW w:w="677" w:type="dxa"/>
            <w:vAlign w:val="center"/>
          </w:tcPr>
          <w:p w:rsidR="00D846BF" w:rsidRDefault="002D1289">
            <w:pPr>
              <w:autoSpaceDE w:val="0"/>
              <w:autoSpaceDN w:val="0"/>
              <w:adjustRightInd w:val="0"/>
              <w:spacing w:line="240" w:lineRule="exact"/>
              <w:rPr>
                <w:rFonts w:ascii="Times New Roman" w:eastAsia="仿宋_GB2312" w:hAnsi="Times New Roman"/>
                <w:b/>
                <w:bCs/>
              </w:rPr>
            </w:pPr>
            <w:r>
              <w:rPr>
                <w:rFonts w:eastAsia="仿宋_GB2312" w:hint="eastAsia"/>
                <w:b/>
                <w:bCs/>
              </w:rPr>
              <w:t>出让年限</w:t>
            </w:r>
          </w:p>
        </w:tc>
      </w:tr>
      <w:tr w:rsidR="00D846BF">
        <w:trPr>
          <w:trHeight w:val="2116"/>
        </w:trPr>
        <w:tc>
          <w:tcPr>
            <w:tcW w:w="702" w:type="dxa"/>
            <w:tcMar>
              <w:left w:w="0" w:type="dxa"/>
              <w:right w:w="0" w:type="dxa"/>
            </w:tcMar>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GP2021</w:t>
            </w:r>
          </w:p>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r w:rsidR="00397A46">
              <w:rPr>
                <w:rFonts w:ascii="仿宋_GB2312" w:eastAsia="仿宋_GB2312" w:hAnsi="仿宋_GB2312" w:cs="仿宋_GB2312" w:hint="eastAsia"/>
                <w:szCs w:val="21"/>
              </w:rPr>
              <w:t>5</w:t>
            </w:r>
          </w:p>
        </w:tc>
        <w:tc>
          <w:tcPr>
            <w:tcW w:w="608"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惠州市惠城区金山新城湖山片区JSH-B04-19地块</w:t>
            </w:r>
          </w:p>
        </w:tc>
        <w:tc>
          <w:tcPr>
            <w:tcW w:w="668"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JSH-B04-19</w:t>
            </w:r>
          </w:p>
        </w:tc>
        <w:tc>
          <w:tcPr>
            <w:tcW w:w="473" w:type="dxa"/>
            <w:tcMar>
              <w:left w:w="0" w:type="dxa"/>
              <w:right w:w="0" w:type="dxa"/>
            </w:tcMar>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城镇住宅及商服用地</w:t>
            </w:r>
          </w:p>
        </w:tc>
        <w:tc>
          <w:tcPr>
            <w:tcW w:w="1004"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27307.11㎡</w:t>
            </w:r>
          </w:p>
        </w:tc>
        <w:tc>
          <w:tcPr>
            <w:tcW w:w="1005"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19947.03㎡</w:t>
            </w:r>
          </w:p>
        </w:tc>
        <w:tc>
          <w:tcPr>
            <w:tcW w:w="772"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≤22%</w:t>
            </w:r>
          </w:p>
        </w:tc>
        <w:tc>
          <w:tcPr>
            <w:tcW w:w="645"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≤2.9</w:t>
            </w:r>
          </w:p>
        </w:tc>
        <w:tc>
          <w:tcPr>
            <w:tcW w:w="1088"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≤79190㎡（其中商业服务业建筑面积的比例≤5%，配套设施建筑面积＞315㎡）</w:t>
            </w:r>
          </w:p>
        </w:tc>
        <w:tc>
          <w:tcPr>
            <w:tcW w:w="945"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≥35%</w:t>
            </w:r>
          </w:p>
        </w:tc>
        <w:tc>
          <w:tcPr>
            <w:tcW w:w="986"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每100㎡计容积率建筑面积≥1个</w:t>
            </w:r>
          </w:p>
        </w:tc>
        <w:tc>
          <w:tcPr>
            <w:tcW w:w="741"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住宅、商业服务业及配套设施</w:t>
            </w:r>
          </w:p>
        </w:tc>
        <w:tc>
          <w:tcPr>
            <w:tcW w:w="677" w:type="dxa"/>
            <w:vAlign w:val="center"/>
          </w:tcPr>
          <w:p w:rsidR="00D846BF" w:rsidRDefault="002D128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城镇住宅用地70年、商服用地40年</w:t>
            </w:r>
          </w:p>
        </w:tc>
      </w:tr>
    </w:tbl>
    <w:p w:rsidR="00D846BF" w:rsidRDefault="00D846BF">
      <w:pPr>
        <w:tabs>
          <w:tab w:val="left" w:pos="11340"/>
        </w:tabs>
        <w:spacing w:line="600" w:lineRule="exact"/>
        <w:rPr>
          <w:rFonts w:ascii="Times New Roman" w:eastAsia="仿宋_GB2312" w:hAnsi="Times New Roman"/>
          <w:sz w:val="32"/>
          <w:szCs w:val="32"/>
        </w:rPr>
      </w:pPr>
    </w:p>
    <w:p w:rsidR="00D846BF" w:rsidRDefault="00D846BF">
      <w:pPr>
        <w:rPr>
          <w:rFonts w:ascii="Times New Roman" w:hAnsi="Times New Roman"/>
        </w:rPr>
      </w:pPr>
    </w:p>
    <w:p w:rsidR="00D846BF" w:rsidRDefault="00D846BF">
      <w:pPr>
        <w:spacing w:line="360" w:lineRule="auto"/>
        <w:rPr>
          <w:rFonts w:ascii="Times New Roman" w:eastAsia="黑体" w:hAnsi="Times New Roman"/>
          <w:sz w:val="32"/>
          <w:szCs w:val="32"/>
        </w:rPr>
      </w:pPr>
    </w:p>
    <w:p w:rsidR="00D846BF" w:rsidRDefault="00D846BF">
      <w:pPr>
        <w:spacing w:line="560" w:lineRule="exact"/>
        <w:jc w:val="center"/>
        <w:rPr>
          <w:rFonts w:ascii="仿宋_GB2312" w:eastAsia="仿宋_GB2312" w:hAnsi="Times New Roman"/>
          <w:szCs w:val="21"/>
        </w:rPr>
      </w:pPr>
    </w:p>
    <w:sectPr w:rsidR="00D846BF" w:rsidSect="00D846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8FA" w:rsidRDefault="009078FA" w:rsidP="00D846BF">
      <w:r>
        <w:separator/>
      </w:r>
    </w:p>
  </w:endnote>
  <w:endnote w:type="continuationSeparator" w:id="1">
    <w:p w:rsidR="009078FA" w:rsidRDefault="009078FA" w:rsidP="00D84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BF" w:rsidRDefault="00253998">
    <w:pPr>
      <w:pStyle w:val="a5"/>
      <w:framePr w:wrap="around" w:vAnchor="text" w:hAnchor="margin" w:xAlign="outside" w:y="1"/>
      <w:rPr>
        <w:rStyle w:val="a7"/>
      </w:rPr>
    </w:pPr>
    <w:r>
      <w:fldChar w:fldCharType="begin"/>
    </w:r>
    <w:r w:rsidR="002D1289">
      <w:rPr>
        <w:rStyle w:val="a7"/>
      </w:rPr>
      <w:instrText xml:space="preserve">PAGE  </w:instrText>
    </w:r>
    <w:r>
      <w:fldChar w:fldCharType="separate"/>
    </w:r>
    <w:r w:rsidR="002D1289">
      <w:rPr>
        <w:rStyle w:val="a7"/>
      </w:rPr>
      <w:t>1</w:t>
    </w:r>
    <w:r>
      <w:fldChar w:fldCharType="end"/>
    </w:r>
  </w:p>
  <w:p w:rsidR="00D846BF" w:rsidRDefault="00D846B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BF" w:rsidRDefault="00253998">
    <w:pPr>
      <w:pStyle w:val="a5"/>
      <w:framePr w:wrap="around" w:vAnchor="text" w:hAnchor="margin" w:xAlign="outside" w:y="1"/>
      <w:rPr>
        <w:rStyle w:val="a7"/>
      </w:rPr>
    </w:pPr>
    <w:r>
      <w:fldChar w:fldCharType="begin"/>
    </w:r>
    <w:r w:rsidR="002D1289">
      <w:rPr>
        <w:rStyle w:val="a7"/>
      </w:rPr>
      <w:instrText xml:space="preserve">PAGE  </w:instrText>
    </w:r>
    <w:r>
      <w:fldChar w:fldCharType="separate"/>
    </w:r>
    <w:r w:rsidR="00397A46">
      <w:rPr>
        <w:rStyle w:val="a7"/>
        <w:noProof/>
      </w:rPr>
      <w:t>- 2 -</w:t>
    </w:r>
    <w:r>
      <w:fldChar w:fldCharType="end"/>
    </w:r>
  </w:p>
  <w:p w:rsidR="00D846BF" w:rsidRDefault="00D846BF">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8FA" w:rsidRDefault="009078FA" w:rsidP="00D846BF">
      <w:r>
        <w:separator/>
      </w:r>
    </w:p>
  </w:footnote>
  <w:footnote w:type="continuationSeparator" w:id="1">
    <w:p w:rsidR="009078FA" w:rsidRDefault="009078FA" w:rsidP="00D84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BF" w:rsidRDefault="00D846BF">
    <w:pPr>
      <w:pStyle w:val="a6"/>
      <w:pBdr>
        <w:bottom w:val="none" w:sz="0" w:space="0" w:color="auto"/>
      </w:pBdr>
      <w:jc w:val="left"/>
    </w:pPr>
  </w:p>
  <w:p w:rsidR="00D846BF" w:rsidRDefault="00D846BF">
    <w:pPr>
      <w:pStyle w:val="a6"/>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969B"/>
    <w:multiLevelType w:val="singleLevel"/>
    <w:tmpl w:val="015C969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846BF"/>
    <w:rsid w:val="00031BC9"/>
    <w:rsid w:val="000D6A14"/>
    <w:rsid w:val="001453B3"/>
    <w:rsid w:val="00253998"/>
    <w:rsid w:val="002C3D3F"/>
    <w:rsid w:val="002D1289"/>
    <w:rsid w:val="00397A46"/>
    <w:rsid w:val="00756388"/>
    <w:rsid w:val="009078FA"/>
    <w:rsid w:val="00C80730"/>
    <w:rsid w:val="00D846BF"/>
    <w:rsid w:val="015539EC"/>
    <w:rsid w:val="03043D1C"/>
    <w:rsid w:val="045C3FD8"/>
    <w:rsid w:val="046368B3"/>
    <w:rsid w:val="04687A90"/>
    <w:rsid w:val="047C6F5A"/>
    <w:rsid w:val="068562BF"/>
    <w:rsid w:val="069C76D6"/>
    <w:rsid w:val="07386886"/>
    <w:rsid w:val="07895069"/>
    <w:rsid w:val="07CF5BB3"/>
    <w:rsid w:val="07E97CE1"/>
    <w:rsid w:val="082B1937"/>
    <w:rsid w:val="09AD4D28"/>
    <w:rsid w:val="09B41FDD"/>
    <w:rsid w:val="09EF4B5F"/>
    <w:rsid w:val="0B78752F"/>
    <w:rsid w:val="0B7A084A"/>
    <w:rsid w:val="0D167AC3"/>
    <w:rsid w:val="0D430223"/>
    <w:rsid w:val="0DF23899"/>
    <w:rsid w:val="0E177AE2"/>
    <w:rsid w:val="0E7A65F6"/>
    <w:rsid w:val="101D3BC2"/>
    <w:rsid w:val="10BD4DFA"/>
    <w:rsid w:val="137618AF"/>
    <w:rsid w:val="13D50F1B"/>
    <w:rsid w:val="161D2710"/>
    <w:rsid w:val="167673A1"/>
    <w:rsid w:val="16AA6FD1"/>
    <w:rsid w:val="16D56AAC"/>
    <w:rsid w:val="172121EB"/>
    <w:rsid w:val="17AA0480"/>
    <w:rsid w:val="17D36568"/>
    <w:rsid w:val="17F82A54"/>
    <w:rsid w:val="182A781E"/>
    <w:rsid w:val="188D227F"/>
    <w:rsid w:val="192F711A"/>
    <w:rsid w:val="1A0B2C56"/>
    <w:rsid w:val="1AA5305E"/>
    <w:rsid w:val="1ADB0E54"/>
    <w:rsid w:val="1B9E531A"/>
    <w:rsid w:val="1C5904D7"/>
    <w:rsid w:val="1CD57BAD"/>
    <w:rsid w:val="1D7069CD"/>
    <w:rsid w:val="1DE30B94"/>
    <w:rsid w:val="1E862B6D"/>
    <w:rsid w:val="1F7C2358"/>
    <w:rsid w:val="1FB07F91"/>
    <w:rsid w:val="20ED2229"/>
    <w:rsid w:val="210A61AB"/>
    <w:rsid w:val="217817B2"/>
    <w:rsid w:val="22890C8D"/>
    <w:rsid w:val="23A027B1"/>
    <w:rsid w:val="24E51F89"/>
    <w:rsid w:val="25251515"/>
    <w:rsid w:val="27A65DB8"/>
    <w:rsid w:val="28774868"/>
    <w:rsid w:val="28C60AA0"/>
    <w:rsid w:val="2A6B42FA"/>
    <w:rsid w:val="2A870225"/>
    <w:rsid w:val="2AAC048C"/>
    <w:rsid w:val="2B5D4967"/>
    <w:rsid w:val="2F020615"/>
    <w:rsid w:val="304C7078"/>
    <w:rsid w:val="31CE6D72"/>
    <w:rsid w:val="32FF0CDD"/>
    <w:rsid w:val="33861F14"/>
    <w:rsid w:val="33DD4339"/>
    <w:rsid w:val="35335FA2"/>
    <w:rsid w:val="36061489"/>
    <w:rsid w:val="36885460"/>
    <w:rsid w:val="372361B7"/>
    <w:rsid w:val="37607760"/>
    <w:rsid w:val="380440B7"/>
    <w:rsid w:val="381E07C6"/>
    <w:rsid w:val="38387384"/>
    <w:rsid w:val="38BD14D1"/>
    <w:rsid w:val="3C13026D"/>
    <w:rsid w:val="3C8078D7"/>
    <w:rsid w:val="3DDC60B5"/>
    <w:rsid w:val="3FF04DBA"/>
    <w:rsid w:val="40231E47"/>
    <w:rsid w:val="40363F40"/>
    <w:rsid w:val="409256E4"/>
    <w:rsid w:val="409E7D83"/>
    <w:rsid w:val="40B33D72"/>
    <w:rsid w:val="411B39E1"/>
    <w:rsid w:val="414E681A"/>
    <w:rsid w:val="42CE6157"/>
    <w:rsid w:val="4333178A"/>
    <w:rsid w:val="43706132"/>
    <w:rsid w:val="44966F93"/>
    <w:rsid w:val="45C047BF"/>
    <w:rsid w:val="47AF3E70"/>
    <w:rsid w:val="495B6193"/>
    <w:rsid w:val="4A1228DB"/>
    <w:rsid w:val="4A1B1ECC"/>
    <w:rsid w:val="4AE74DD0"/>
    <w:rsid w:val="4C2E14D5"/>
    <w:rsid w:val="4C956C10"/>
    <w:rsid w:val="4CFF14D6"/>
    <w:rsid w:val="4D1610A1"/>
    <w:rsid w:val="4DF35994"/>
    <w:rsid w:val="4EC91786"/>
    <w:rsid w:val="4F861E18"/>
    <w:rsid w:val="512A0AC6"/>
    <w:rsid w:val="538C505C"/>
    <w:rsid w:val="540106D5"/>
    <w:rsid w:val="546946EF"/>
    <w:rsid w:val="565101CA"/>
    <w:rsid w:val="567F481B"/>
    <w:rsid w:val="5787561C"/>
    <w:rsid w:val="578E459E"/>
    <w:rsid w:val="57A3234F"/>
    <w:rsid w:val="57C844D5"/>
    <w:rsid w:val="57EA41E9"/>
    <w:rsid w:val="594D206E"/>
    <w:rsid w:val="596A13D8"/>
    <w:rsid w:val="5A893EB0"/>
    <w:rsid w:val="5AF873B7"/>
    <w:rsid w:val="5D241B5A"/>
    <w:rsid w:val="5D471E01"/>
    <w:rsid w:val="5E3B0440"/>
    <w:rsid w:val="606821F3"/>
    <w:rsid w:val="60AD2817"/>
    <w:rsid w:val="623F28DB"/>
    <w:rsid w:val="63AA2C72"/>
    <w:rsid w:val="63CE4A87"/>
    <w:rsid w:val="64D925C4"/>
    <w:rsid w:val="64E467ED"/>
    <w:rsid w:val="65651799"/>
    <w:rsid w:val="669A56E0"/>
    <w:rsid w:val="68527CA2"/>
    <w:rsid w:val="692A6240"/>
    <w:rsid w:val="6B6E278B"/>
    <w:rsid w:val="6BE509C5"/>
    <w:rsid w:val="6C72571A"/>
    <w:rsid w:val="6E0C0E77"/>
    <w:rsid w:val="6EB83079"/>
    <w:rsid w:val="6EC11C99"/>
    <w:rsid w:val="6ED476F5"/>
    <w:rsid w:val="6F3F769A"/>
    <w:rsid w:val="6F4B3B48"/>
    <w:rsid w:val="6FF0551C"/>
    <w:rsid w:val="700A52E4"/>
    <w:rsid w:val="700B25B1"/>
    <w:rsid w:val="727D44B4"/>
    <w:rsid w:val="728D40FC"/>
    <w:rsid w:val="7291218D"/>
    <w:rsid w:val="736D1677"/>
    <w:rsid w:val="73BE7EBD"/>
    <w:rsid w:val="73F22758"/>
    <w:rsid w:val="748840AA"/>
    <w:rsid w:val="761352C3"/>
    <w:rsid w:val="765425FB"/>
    <w:rsid w:val="7774343F"/>
    <w:rsid w:val="77DD303C"/>
    <w:rsid w:val="782A0826"/>
    <w:rsid w:val="787C1591"/>
    <w:rsid w:val="79E82C45"/>
    <w:rsid w:val="7AD36021"/>
    <w:rsid w:val="7B832F79"/>
    <w:rsid w:val="7D060077"/>
    <w:rsid w:val="7E592347"/>
    <w:rsid w:val="7F252698"/>
    <w:rsid w:val="7F6B30B2"/>
    <w:rsid w:val="7FAA0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846BF"/>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846BF"/>
    <w:pPr>
      <w:spacing w:line="360" w:lineRule="auto"/>
      <w:ind w:firstLine="420"/>
    </w:pPr>
    <w:rPr>
      <w:sz w:val="28"/>
      <w:szCs w:val="20"/>
    </w:rPr>
  </w:style>
  <w:style w:type="paragraph" w:styleId="a4">
    <w:name w:val="Body Text Indent"/>
    <w:basedOn w:val="a"/>
    <w:qFormat/>
    <w:rsid w:val="00D846BF"/>
    <w:pPr>
      <w:widowControl/>
      <w:adjustRightInd w:val="0"/>
      <w:snapToGrid w:val="0"/>
      <w:spacing w:before="100"/>
      <w:ind w:firstLineChars="200" w:firstLine="640"/>
      <w:jc w:val="left"/>
    </w:pPr>
    <w:rPr>
      <w:rFonts w:ascii="仿宋_GB2312" w:eastAsia="仿宋_GB2312" w:hAnsi="华文中宋"/>
      <w:kern w:val="0"/>
      <w:sz w:val="32"/>
      <w:szCs w:val="24"/>
    </w:rPr>
  </w:style>
  <w:style w:type="paragraph" w:styleId="a5">
    <w:name w:val="footer"/>
    <w:basedOn w:val="a"/>
    <w:qFormat/>
    <w:rsid w:val="00D846BF"/>
    <w:pPr>
      <w:tabs>
        <w:tab w:val="center" w:pos="4153"/>
        <w:tab w:val="right" w:pos="8306"/>
      </w:tabs>
      <w:snapToGrid w:val="0"/>
      <w:jc w:val="left"/>
    </w:pPr>
    <w:rPr>
      <w:sz w:val="18"/>
      <w:szCs w:val="18"/>
    </w:rPr>
  </w:style>
  <w:style w:type="paragraph" w:styleId="a6">
    <w:name w:val="header"/>
    <w:basedOn w:val="a"/>
    <w:qFormat/>
    <w:rsid w:val="00D846BF"/>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rsid w:val="00D846BF"/>
    <w:pPr>
      <w:ind w:leftChars="200" w:left="420"/>
    </w:pPr>
  </w:style>
  <w:style w:type="character" w:styleId="a7">
    <w:name w:val="page number"/>
    <w:basedOn w:val="a1"/>
    <w:qFormat/>
    <w:rsid w:val="00D846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yjy.huizhou.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611</Words>
  <Characters>3488</Characters>
  <Application>Microsoft Office Word</Application>
  <DocSecurity>0</DocSecurity>
  <Lines>29</Lines>
  <Paragraphs>8</Paragraphs>
  <ScaleCrop>false</ScaleCrop>
  <Company>微软中国</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6</cp:revision>
  <cp:lastPrinted>2021-12-28T07:59:00Z</cp:lastPrinted>
  <dcterms:created xsi:type="dcterms:W3CDTF">2019-12-12T06:35:00Z</dcterms:created>
  <dcterms:modified xsi:type="dcterms:W3CDTF">2021-12-30T06:50:00Z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